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4E29837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4012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740125">
        <w:rPr>
          <w:rFonts w:ascii="Arial" w:eastAsiaTheme="minorEastAsia" w:hAnsi="Arial" w:cs="Arial"/>
          <w:b/>
          <w:sz w:val="24"/>
          <w:szCs w:val="24"/>
          <w:lang w:eastAsia="zh-CN"/>
        </w:rPr>
        <w:t>1109</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A1DCAC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76B4">
        <w:rPr>
          <w:rFonts w:ascii="Arial" w:eastAsiaTheme="minorEastAsia" w:hAnsi="Arial" w:cs="Arial"/>
          <w:b/>
          <w:bCs/>
          <w:color w:val="000000"/>
          <w:sz w:val="22"/>
          <w:lang w:eastAsia="zh-CN"/>
        </w:rPr>
        <w:t>8.1.1.2.</w:t>
      </w:r>
      <w:r w:rsidR="00B30AB0">
        <w:rPr>
          <w:rFonts w:ascii="Arial" w:eastAsiaTheme="minorEastAsia" w:hAnsi="Arial" w:cs="Arial"/>
          <w:b/>
          <w:bCs/>
          <w:color w:val="000000"/>
          <w:sz w:val="22"/>
          <w:lang w:eastAsia="zh-CN"/>
        </w:rPr>
        <w:t>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4747A0B3"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30AB0" w:rsidRPr="00B30AB0">
        <w:rPr>
          <w:rFonts w:ascii="Arial" w:eastAsia="MS Mincho" w:hAnsi="Arial" w:cs="Arial"/>
          <w:b/>
          <w:color w:val="000000"/>
          <w:sz w:val="22"/>
        </w:rPr>
        <w:t>Further discussion on MPR applicability for FR1 intra-band UL CA</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2EC8D1FB" w:rsidR="00484C5D" w:rsidRDefault="00C65F2A" w:rsidP="00642BC6">
      <w:pPr>
        <w:rPr>
          <w:lang w:val="sv-SE" w:eastAsia="ja-JP"/>
        </w:rPr>
      </w:pPr>
      <w:r>
        <w:rPr>
          <w:lang w:val="sv-SE" w:eastAsia="ja-JP"/>
        </w:rPr>
        <w:t>For the Rel-19 UE RF WID, RAN4 has continued the discussion on MPR applicability for FR1 intra-band UL CA and agreed on a way forward in RAN4#111 [1], which captured the following related agreements:</w:t>
      </w:r>
    </w:p>
    <w:tbl>
      <w:tblPr>
        <w:tblStyle w:val="TableGrid"/>
        <w:tblW w:w="0" w:type="auto"/>
        <w:tblLook w:val="04A0" w:firstRow="1" w:lastRow="0" w:firstColumn="1" w:lastColumn="0" w:noHBand="0" w:noVBand="1"/>
      </w:tblPr>
      <w:tblGrid>
        <w:gridCol w:w="9631"/>
      </w:tblGrid>
      <w:tr w:rsidR="0070153E" w:rsidRPr="0070153E" w14:paraId="695010E8" w14:textId="77777777" w:rsidTr="0070153E">
        <w:tc>
          <w:tcPr>
            <w:tcW w:w="9631" w:type="dxa"/>
          </w:tcPr>
          <w:p w14:paraId="7F8D7CC7" w14:textId="77777777" w:rsidR="0070153E" w:rsidRPr="0070153E" w:rsidRDefault="0070153E" w:rsidP="0070153E">
            <w:pPr>
              <w:keepNext/>
              <w:keepLines/>
              <w:spacing w:before="180"/>
              <w:outlineLvl w:val="1"/>
              <w:rPr>
                <w:rFonts w:ascii="Arial" w:eastAsia="Times New Roman" w:hAnsi="Arial"/>
                <w:i/>
                <w:iCs/>
                <w:sz w:val="18"/>
                <w:szCs w:val="14"/>
                <w:lang w:eastAsia="en-GB"/>
              </w:rPr>
            </w:pPr>
            <w:r w:rsidRPr="0070153E">
              <w:rPr>
                <w:rFonts w:ascii="Arial" w:eastAsia="Times New Roman" w:hAnsi="Arial"/>
                <w:i/>
                <w:iCs/>
                <w:sz w:val="18"/>
                <w:szCs w:val="14"/>
                <w:lang w:eastAsia="en-GB"/>
              </w:rPr>
              <w:t>2.1. MPR applicability</w:t>
            </w:r>
            <w:r w:rsidRPr="0070153E">
              <w:rPr>
                <w:rFonts w:ascii="Arial" w:eastAsia="Times New Roman" w:hAnsi="Arial"/>
                <w:i/>
                <w:iCs/>
                <w:sz w:val="18"/>
                <w:szCs w:val="14"/>
                <w:lang w:val="en-US" w:eastAsia="en-GB"/>
              </w:rPr>
              <w:t xml:space="preserve"> for FR1 intra-band contiguous UL CA </w:t>
            </w:r>
          </w:p>
          <w:p w14:paraId="71F8D1D4" w14:textId="77777777" w:rsidR="0070153E" w:rsidRPr="0070153E" w:rsidRDefault="0070153E" w:rsidP="0070153E">
            <w:pPr>
              <w:rPr>
                <w:rFonts w:eastAsia="Times New Roman"/>
                <w:b/>
                <w:i/>
                <w:iCs/>
                <w:sz w:val="18"/>
                <w:szCs w:val="14"/>
                <w:lang w:eastAsia="zh-CN"/>
              </w:rPr>
            </w:pPr>
            <w:r w:rsidRPr="0070153E">
              <w:rPr>
                <w:rFonts w:eastAsia="Times New Roman"/>
                <w:b/>
                <w:i/>
                <w:iCs/>
                <w:sz w:val="18"/>
                <w:szCs w:val="14"/>
                <w:lang w:eastAsia="zh-CN"/>
              </w:rPr>
              <w:t>Way forward:</w:t>
            </w:r>
          </w:p>
          <w:p w14:paraId="7196B5D0" w14:textId="77777777" w:rsidR="0070153E" w:rsidRPr="0070153E" w:rsidRDefault="0070153E" w:rsidP="0070153E">
            <w:pPr>
              <w:numPr>
                <w:ilvl w:val="0"/>
                <w:numId w:val="27"/>
              </w:numPr>
              <w:rPr>
                <w:rFonts w:eastAsiaTheme="minorEastAsia"/>
                <w:i/>
                <w:iCs/>
                <w:sz w:val="18"/>
                <w:szCs w:val="14"/>
                <w:lang w:eastAsia="zh-CN"/>
              </w:rPr>
            </w:pPr>
            <w:r w:rsidRPr="0070153E">
              <w:rPr>
                <w:i/>
                <w:iCs/>
                <w:sz w:val="18"/>
                <w:szCs w:val="14"/>
                <w:lang w:eastAsia="zh-CN"/>
              </w:rPr>
              <w:t xml:space="preserve">For PC3 and PC2 contiguous UL CA use the corresponding single CC MPR when only 1 CC is activated. </w:t>
            </w:r>
          </w:p>
          <w:p w14:paraId="3DC9D9E2" w14:textId="77777777" w:rsidR="0070153E" w:rsidRPr="0070153E" w:rsidRDefault="0070153E" w:rsidP="0070153E">
            <w:pPr>
              <w:numPr>
                <w:ilvl w:val="1"/>
                <w:numId w:val="27"/>
              </w:numPr>
              <w:rPr>
                <w:rFonts w:eastAsiaTheme="minorEastAsia"/>
                <w:i/>
                <w:iCs/>
                <w:sz w:val="18"/>
                <w:szCs w:val="14"/>
                <w:lang w:eastAsia="zh-CN"/>
              </w:rPr>
            </w:pPr>
            <w:r w:rsidRPr="0070153E">
              <w:rPr>
                <w:rFonts w:eastAsiaTheme="minorEastAsia"/>
                <w:i/>
                <w:iCs/>
                <w:sz w:val="18"/>
                <w:szCs w:val="14"/>
                <w:lang w:eastAsia="zh-CN"/>
              </w:rPr>
              <w:t xml:space="preserve">FFS: MPR defined in Table 6.2.2-1 applies for UE power class 3 CA bandwidth classes B and C. </w:t>
            </w:r>
          </w:p>
          <w:p w14:paraId="03B88D8B" w14:textId="77777777" w:rsidR="0070153E" w:rsidRPr="0070153E" w:rsidRDefault="0070153E" w:rsidP="0070153E">
            <w:pPr>
              <w:numPr>
                <w:ilvl w:val="1"/>
                <w:numId w:val="27"/>
              </w:numPr>
              <w:rPr>
                <w:rFonts w:eastAsiaTheme="minorEastAsia"/>
                <w:i/>
                <w:iCs/>
                <w:sz w:val="18"/>
                <w:szCs w:val="14"/>
                <w:lang w:eastAsia="zh-CN"/>
              </w:rPr>
            </w:pPr>
            <w:r w:rsidRPr="0070153E">
              <w:rPr>
                <w:rFonts w:eastAsiaTheme="minorEastAsia"/>
                <w:i/>
                <w:iCs/>
                <w:sz w:val="18"/>
                <w:szCs w:val="14"/>
                <w:lang w:eastAsia="zh-CN"/>
              </w:rPr>
              <w:t xml:space="preserve">FFS: MPR defined in Table 6.2D.2-1 applies for power class 2 CA bandwidth classes B and C when TxD capability is indicated. </w:t>
            </w:r>
          </w:p>
          <w:p w14:paraId="5A1ACA30" w14:textId="77777777" w:rsidR="0070153E" w:rsidRPr="0070153E" w:rsidRDefault="0070153E" w:rsidP="0070153E">
            <w:pPr>
              <w:numPr>
                <w:ilvl w:val="1"/>
                <w:numId w:val="27"/>
              </w:numPr>
              <w:rPr>
                <w:rFonts w:eastAsiaTheme="minorEastAsia"/>
                <w:i/>
                <w:iCs/>
                <w:sz w:val="18"/>
                <w:szCs w:val="14"/>
                <w:lang w:eastAsia="zh-CN"/>
              </w:rPr>
            </w:pPr>
            <w:r w:rsidRPr="0070153E">
              <w:rPr>
                <w:rFonts w:eastAsiaTheme="minorEastAsia"/>
                <w:i/>
                <w:iCs/>
                <w:sz w:val="18"/>
                <w:szCs w:val="14"/>
                <w:lang w:eastAsia="zh-CN"/>
              </w:rPr>
              <w:t xml:space="preserve">FFS: MPR defined in Table 6.2.2-2 applies for power class 2 CA bandwidth classes B and C when TxD capability is absent. </w:t>
            </w:r>
          </w:p>
          <w:p w14:paraId="50CB7239" w14:textId="77777777" w:rsidR="0070153E" w:rsidRPr="0070153E" w:rsidRDefault="0070153E" w:rsidP="0070153E">
            <w:pPr>
              <w:numPr>
                <w:ilvl w:val="1"/>
                <w:numId w:val="27"/>
              </w:numPr>
              <w:rPr>
                <w:rFonts w:eastAsiaTheme="minorEastAsia"/>
                <w:i/>
                <w:iCs/>
                <w:sz w:val="18"/>
                <w:szCs w:val="14"/>
                <w:lang w:eastAsia="zh-CN"/>
              </w:rPr>
            </w:pPr>
            <w:r w:rsidRPr="0070153E">
              <w:rPr>
                <w:rFonts w:eastAsiaTheme="minorEastAsia" w:hint="eastAsia"/>
                <w:i/>
                <w:iCs/>
                <w:sz w:val="18"/>
                <w:szCs w:val="14"/>
                <w:lang w:eastAsia="zh-CN"/>
              </w:rPr>
              <w:t>F</w:t>
            </w:r>
            <w:r w:rsidRPr="0070153E">
              <w:rPr>
                <w:rFonts w:eastAsiaTheme="minorEastAsia"/>
                <w:i/>
                <w:iCs/>
                <w:sz w:val="18"/>
                <w:szCs w:val="14"/>
                <w:lang w:eastAsia="zh-CN"/>
              </w:rPr>
              <w:t>FS whether spurious emissions/ACLR/SEM are kept for aggregated CBW for CA</w:t>
            </w:r>
          </w:p>
          <w:p w14:paraId="4E5B1167" w14:textId="77777777" w:rsidR="0070153E" w:rsidRPr="0070153E" w:rsidRDefault="0070153E" w:rsidP="0070153E">
            <w:pPr>
              <w:keepNext/>
              <w:keepLines/>
              <w:spacing w:before="180"/>
              <w:outlineLvl w:val="1"/>
              <w:rPr>
                <w:rFonts w:ascii="Arial" w:eastAsia="Times New Roman" w:hAnsi="Arial"/>
                <w:i/>
                <w:iCs/>
                <w:sz w:val="18"/>
                <w:szCs w:val="14"/>
                <w:lang w:eastAsia="en-GB"/>
              </w:rPr>
            </w:pPr>
            <w:r w:rsidRPr="0070153E">
              <w:rPr>
                <w:rFonts w:ascii="Arial" w:eastAsia="Times New Roman" w:hAnsi="Arial"/>
                <w:i/>
                <w:iCs/>
                <w:sz w:val="18"/>
                <w:szCs w:val="14"/>
                <w:lang w:eastAsia="en-GB"/>
              </w:rPr>
              <w:t xml:space="preserve">2.2. MPR applicability for FR1 intra-band UL non-contiguous CA </w:t>
            </w:r>
          </w:p>
          <w:p w14:paraId="16B7835F" w14:textId="77777777" w:rsidR="0070153E" w:rsidRPr="0070153E" w:rsidRDefault="0070153E" w:rsidP="0070153E">
            <w:pPr>
              <w:rPr>
                <w:rFonts w:eastAsia="Times New Roman"/>
                <w:b/>
                <w:i/>
                <w:iCs/>
                <w:sz w:val="18"/>
                <w:szCs w:val="14"/>
                <w:lang w:eastAsia="zh-CN"/>
              </w:rPr>
            </w:pPr>
            <w:r w:rsidRPr="0070153E">
              <w:rPr>
                <w:rFonts w:eastAsia="Times New Roman"/>
                <w:b/>
                <w:i/>
                <w:iCs/>
                <w:sz w:val="18"/>
                <w:szCs w:val="14"/>
                <w:lang w:eastAsia="zh-CN"/>
              </w:rPr>
              <w:t>Way forward:</w:t>
            </w:r>
          </w:p>
          <w:p w14:paraId="19379D05" w14:textId="77777777" w:rsidR="0070153E" w:rsidRPr="0070153E" w:rsidRDefault="0070153E" w:rsidP="0070153E">
            <w:pPr>
              <w:rPr>
                <w:rFonts w:eastAsiaTheme="minorEastAsia"/>
                <w:i/>
                <w:iCs/>
                <w:sz w:val="18"/>
                <w:szCs w:val="14"/>
                <w:lang w:eastAsia="zh-CN"/>
              </w:rPr>
            </w:pPr>
            <w:r w:rsidRPr="0070153E">
              <w:rPr>
                <w:rFonts w:eastAsiaTheme="minorEastAsia" w:hint="eastAsia"/>
                <w:i/>
                <w:iCs/>
                <w:sz w:val="18"/>
                <w:szCs w:val="14"/>
                <w:lang w:eastAsia="zh-CN"/>
              </w:rPr>
              <w:t>E</w:t>
            </w:r>
            <w:r w:rsidRPr="0070153E">
              <w:rPr>
                <w:rFonts w:eastAsiaTheme="minorEastAsia"/>
                <w:i/>
                <w:iCs/>
                <w:sz w:val="18"/>
                <w:szCs w:val="14"/>
                <w:lang w:eastAsia="zh-CN"/>
              </w:rPr>
              <w:t xml:space="preserve">nhancements not aligned with the WID will not be considered. </w:t>
            </w:r>
          </w:p>
          <w:p w14:paraId="325E5E2F" w14:textId="6872B7CF" w:rsidR="0070153E" w:rsidRPr="0070153E" w:rsidRDefault="0070153E" w:rsidP="00642BC6">
            <w:pPr>
              <w:numPr>
                <w:ilvl w:val="0"/>
                <w:numId w:val="28"/>
              </w:numPr>
              <w:rPr>
                <w:rFonts w:eastAsiaTheme="minorEastAsia"/>
                <w:i/>
                <w:iCs/>
                <w:sz w:val="18"/>
                <w:szCs w:val="14"/>
                <w:lang w:eastAsia="zh-CN"/>
              </w:rPr>
            </w:pPr>
            <w:r w:rsidRPr="0070153E">
              <w:rPr>
                <w:rFonts w:eastAsiaTheme="minorEastAsia"/>
                <w:i/>
                <w:iCs/>
                <w:sz w:val="18"/>
                <w:szCs w:val="14"/>
                <w:lang w:eastAsia="zh-CN"/>
              </w:rPr>
              <w:t>Further clarify the scope for NC CA in next meeting based on the WID objectives.</w:t>
            </w:r>
          </w:p>
        </w:tc>
      </w:tr>
    </w:tbl>
    <w:p w14:paraId="0315AF6D" w14:textId="77777777" w:rsidR="0070153E" w:rsidRDefault="0070153E" w:rsidP="00642BC6">
      <w:pPr>
        <w:rPr>
          <w:lang w:val="sv-SE" w:eastAsia="ja-JP"/>
        </w:rPr>
      </w:pPr>
    </w:p>
    <w:p w14:paraId="678A45E7" w14:textId="1E771493" w:rsidR="00C65F2A" w:rsidRPr="008B7229" w:rsidRDefault="00C65F2A" w:rsidP="00642BC6">
      <w:pPr>
        <w:rPr>
          <w:lang w:val="sv-SE" w:eastAsia="ja-JP"/>
        </w:rPr>
      </w:pPr>
      <w:r w:rsidRPr="00A77B5C">
        <w:rPr>
          <w:lang w:val="sv-SE" w:eastAsia="ja-JP"/>
        </w:rPr>
        <w:t>In this contribution, we continue our discussion on the aforementioned issues.</w:t>
      </w:r>
    </w:p>
    <w:p w14:paraId="609286E5" w14:textId="522C2324" w:rsidR="00E80B52" w:rsidRDefault="008B7229" w:rsidP="00805BE8">
      <w:pPr>
        <w:pStyle w:val="Heading1"/>
        <w:rPr>
          <w:lang w:eastAsia="ja-JP"/>
        </w:rPr>
      </w:pPr>
      <w:r>
        <w:rPr>
          <w:lang w:eastAsia="ja-JP"/>
        </w:rPr>
        <w:t>Discussion</w:t>
      </w:r>
    </w:p>
    <w:p w14:paraId="3766D7DF" w14:textId="5EA503BA" w:rsidR="00B41863" w:rsidRPr="00B41863" w:rsidRDefault="00B41863" w:rsidP="00B41863">
      <w:pPr>
        <w:rPr>
          <w:lang w:val="sv-SE" w:eastAsia="ja-JP"/>
        </w:rPr>
      </w:pPr>
      <w:r w:rsidRPr="00B41863">
        <w:rPr>
          <w:lang w:val="sv-SE" w:eastAsia="ja-JP"/>
        </w:rPr>
        <w:t xml:space="preserve">Currently RAN4 discussion is focused on the case where a single uplink CC is activated or transmitted </w:t>
      </w:r>
      <w:r>
        <w:rPr>
          <w:lang w:val="sv-SE" w:eastAsia="ja-JP"/>
        </w:rPr>
        <w:t>even with uplink configured with intra-band UL CA</w:t>
      </w:r>
      <w:r w:rsidR="007D74E1">
        <w:rPr>
          <w:lang w:val="sv-SE" w:eastAsia="ja-JP"/>
        </w:rPr>
        <w:t xml:space="preserve"> (bandwidth class B and C)</w:t>
      </w:r>
      <w:r>
        <w:rPr>
          <w:lang w:val="sv-SE" w:eastAsia="ja-JP"/>
        </w:rPr>
        <w:t>. RAN4</w:t>
      </w:r>
      <w:r w:rsidR="007D74E1">
        <w:rPr>
          <w:lang w:val="sv-SE" w:eastAsia="ja-JP"/>
        </w:rPr>
        <w:t xml:space="preserve"> has specified MPR requirements for intra-band UL CA with both contiguous and non-contiguous RB allocation for different power classes, e.g., the below table specifies MPR requirements for contigous RB allocation for power class 3:</w:t>
      </w:r>
    </w:p>
    <w:tbl>
      <w:tblPr>
        <w:tblW w:w="16517" w:type="dxa"/>
        <w:tblCellMar>
          <w:left w:w="0" w:type="dxa"/>
          <w:right w:w="0" w:type="dxa"/>
        </w:tblCellMar>
        <w:tblLook w:val="04A0" w:firstRow="1" w:lastRow="0" w:firstColumn="1" w:lastColumn="0" w:noHBand="0" w:noVBand="1"/>
      </w:tblPr>
      <w:tblGrid>
        <w:gridCol w:w="9630"/>
        <w:gridCol w:w="3058"/>
        <w:gridCol w:w="296"/>
        <w:gridCol w:w="3533"/>
      </w:tblGrid>
      <w:tr w:rsidR="00B41863" w:rsidRPr="00B41863" w14:paraId="55669458" w14:textId="77777777" w:rsidTr="00B41863">
        <w:trPr>
          <w:trHeight w:val="2887"/>
        </w:trPr>
        <w:tc>
          <w:tcPr>
            <w:tcW w:w="9630" w:type="dxa"/>
            <w:hideMark/>
          </w:tcPr>
          <w:p w14:paraId="5E7CBDC9" w14:textId="29ADE2ED" w:rsidR="00B41863" w:rsidRPr="00B41863" w:rsidRDefault="00B41863" w:rsidP="00B41863">
            <w:pPr>
              <w:rPr>
                <w:lang w:eastAsia="ja-JP"/>
              </w:rPr>
            </w:pPr>
            <w:r w:rsidRPr="00B41863">
              <w:rPr>
                <w:noProof/>
                <w:lang w:eastAsia="ja-JP"/>
              </w:rPr>
              <w:lastRenderedPageBreak/>
              <w:drawing>
                <wp:inline distT="0" distB="0" distL="0" distR="0" wp14:anchorId="0A98635E" wp14:editId="29A4782B">
                  <wp:extent cx="4962525" cy="1790700"/>
                  <wp:effectExtent l="0" t="0" r="9525" b="0"/>
                  <wp:docPr id="20757245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2525" cy="1790700"/>
                          </a:xfrm>
                          <a:prstGeom prst="rect">
                            <a:avLst/>
                          </a:prstGeom>
                          <a:noFill/>
                          <a:ln>
                            <a:noFill/>
                          </a:ln>
                        </pic:spPr>
                      </pic:pic>
                    </a:graphicData>
                  </a:graphic>
                </wp:inline>
              </w:drawing>
            </w:r>
          </w:p>
        </w:tc>
        <w:tc>
          <w:tcPr>
            <w:tcW w:w="0" w:type="auto"/>
            <w:vMerge w:val="restart"/>
            <w:vAlign w:val="center"/>
            <w:hideMark/>
          </w:tcPr>
          <w:p w14:paraId="7289B364" w14:textId="77777777" w:rsidR="00B41863" w:rsidRPr="00B41863" w:rsidRDefault="00B41863" w:rsidP="00B41863">
            <w:pPr>
              <w:rPr>
                <w:lang w:eastAsia="ja-JP"/>
              </w:rPr>
            </w:pPr>
          </w:p>
        </w:tc>
        <w:tc>
          <w:tcPr>
            <w:tcW w:w="296" w:type="dxa"/>
            <w:hideMark/>
          </w:tcPr>
          <w:p w14:paraId="27B3E855" w14:textId="77777777" w:rsidR="00B41863" w:rsidRPr="00B41863" w:rsidRDefault="00B41863" w:rsidP="00B41863">
            <w:pPr>
              <w:rPr>
                <w:lang w:eastAsia="ja-JP"/>
              </w:rPr>
            </w:pPr>
          </w:p>
        </w:tc>
        <w:tc>
          <w:tcPr>
            <w:tcW w:w="3533" w:type="dxa"/>
            <w:hideMark/>
          </w:tcPr>
          <w:p w14:paraId="3BE4D906" w14:textId="4457CD0E" w:rsidR="00B41863" w:rsidRPr="00B41863" w:rsidRDefault="00B41863" w:rsidP="00B41863">
            <w:pPr>
              <w:rPr>
                <w:lang w:eastAsia="ja-JP"/>
              </w:rPr>
            </w:pPr>
          </w:p>
        </w:tc>
      </w:tr>
      <w:tr w:rsidR="00B41863" w:rsidRPr="00B41863" w14:paraId="45913C7A" w14:textId="77777777" w:rsidTr="00B41863">
        <w:trPr>
          <w:trHeight w:val="465"/>
        </w:trPr>
        <w:tc>
          <w:tcPr>
            <w:tcW w:w="9630" w:type="dxa"/>
            <w:hideMark/>
          </w:tcPr>
          <w:p w14:paraId="0427018D" w14:textId="77777777" w:rsidR="00B41863" w:rsidRDefault="00B41863" w:rsidP="00B41863">
            <w:pPr>
              <w:rPr>
                <w:lang w:val="en-US" w:eastAsia="ja-JP"/>
              </w:rPr>
            </w:pPr>
            <w:r w:rsidRPr="00B41863">
              <w:rPr>
                <w:lang w:eastAsia="ja-JP"/>
              </w:rPr>
              <w:t> </w:t>
            </w:r>
            <w:r w:rsidR="007D74E1">
              <w:rPr>
                <w:lang w:val="en-US" w:eastAsia="ja-JP"/>
              </w:rPr>
              <w:t xml:space="preserve">It is obvious that these MPR values assume that RB allocation in the two contiguous CCs are also contiguous, equivalent to a larger “virtual” carrier with a larger “virtual” BWP compared with the case of single carrier only, hence there are a couple dBs of MPR difference between the two cases. </w:t>
            </w:r>
          </w:p>
          <w:p w14:paraId="74F24419" w14:textId="4253CE4A" w:rsidR="007D74E1" w:rsidRDefault="007D74E1" w:rsidP="00B41863">
            <w:pPr>
              <w:rPr>
                <w:lang w:val="en-US" w:eastAsia="ja-JP"/>
              </w:rPr>
            </w:pPr>
            <w:r w:rsidRPr="007D74E1">
              <w:rPr>
                <w:lang w:val="en-US" w:eastAsia="ja-JP"/>
              </w:rPr>
              <w:t>However, if there is only a single uplink carrier transmission, applying the MPR requirements for intra-band contiguous UL CA would be excessive. Therefore, it is more reasonable to adhere to the MPR requirements</w:t>
            </w:r>
            <w:r>
              <w:rPr>
                <w:lang w:val="en-US" w:eastAsia="ja-JP"/>
              </w:rPr>
              <w:t>, e.g., Table 6.2.2-1 for PC3,</w:t>
            </w:r>
            <w:r w:rsidRPr="007D74E1">
              <w:rPr>
                <w:lang w:val="en-US" w:eastAsia="ja-JP"/>
              </w:rPr>
              <w:t xml:space="preserve"> for a single carrier instead</w:t>
            </w:r>
            <w:r>
              <w:rPr>
                <w:lang w:val="en-US" w:eastAsia="ja-JP"/>
              </w:rPr>
              <w:t xml:space="preserve">.  </w:t>
            </w:r>
          </w:p>
          <w:p w14:paraId="5B55D3A7" w14:textId="1482BA60" w:rsidR="007D74E1" w:rsidRPr="00B41863" w:rsidRDefault="007D74E1" w:rsidP="00B41863">
            <w:pPr>
              <w:rPr>
                <w:b/>
                <w:bCs/>
                <w:lang w:val="en-US" w:eastAsia="ja-JP"/>
              </w:rPr>
            </w:pPr>
            <w:r w:rsidRPr="00BB49C9">
              <w:rPr>
                <w:b/>
                <w:bCs/>
                <w:lang w:val="en-US" w:eastAsia="ja-JP"/>
              </w:rPr>
              <w:t xml:space="preserve">Proposal 1: </w:t>
            </w:r>
            <w:r w:rsidR="00BB49C9" w:rsidRPr="00BB49C9">
              <w:rPr>
                <w:b/>
                <w:bCs/>
                <w:lang w:val="en-US" w:eastAsia="ja-JP"/>
              </w:rPr>
              <w:t>MPR defined in Table 6.2.2-1 applies for UE power class 3 CA bandwidth classes B and C for PC3 contiguous UL CA when only 1 CC is transmitted.</w:t>
            </w:r>
          </w:p>
        </w:tc>
        <w:tc>
          <w:tcPr>
            <w:tcW w:w="0" w:type="auto"/>
            <w:vMerge/>
            <w:vAlign w:val="center"/>
            <w:hideMark/>
          </w:tcPr>
          <w:p w14:paraId="06A585CA" w14:textId="77777777" w:rsidR="00B41863" w:rsidRPr="00B41863" w:rsidRDefault="00B41863" w:rsidP="00B41863">
            <w:pPr>
              <w:rPr>
                <w:lang w:eastAsia="ja-JP"/>
              </w:rPr>
            </w:pPr>
          </w:p>
        </w:tc>
        <w:tc>
          <w:tcPr>
            <w:tcW w:w="296" w:type="dxa"/>
            <w:hideMark/>
          </w:tcPr>
          <w:p w14:paraId="170A3AE0" w14:textId="77777777" w:rsidR="00B41863" w:rsidRPr="00B41863" w:rsidRDefault="00B41863" w:rsidP="00B41863">
            <w:pPr>
              <w:rPr>
                <w:lang w:eastAsia="ja-JP"/>
              </w:rPr>
            </w:pPr>
          </w:p>
        </w:tc>
        <w:tc>
          <w:tcPr>
            <w:tcW w:w="3533" w:type="dxa"/>
            <w:hideMark/>
          </w:tcPr>
          <w:p w14:paraId="7E816875" w14:textId="5F556627" w:rsidR="00B41863" w:rsidRPr="00B41863" w:rsidRDefault="00B41863" w:rsidP="00B41863">
            <w:pPr>
              <w:rPr>
                <w:lang w:eastAsia="ja-JP"/>
              </w:rPr>
            </w:pPr>
          </w:p>
        </w:tc>
      </w:tr>
    </w:tbl>
    <w:p w14:paraId="171F3B64" w14:textId="0E3D4BC4" w:rsidR="008B7229" w:rsidRDefault="00611BBC" w:rsidP="008B7229">
      <w:pPr>
        <w:rPr>
          <w:lang w:val="sv-SE" w:eastAsia="ja-JP"/>
        </w:rPr>
      </w:pPr>
      <w:r>
        <w:rPr>
          <w:lang w:val="sv-SE" w:eastAsia="ja-JP"/>
        </w:rPr>
        <w:t>Similar consideration may also apply for PC2 with or without TxD.</w:t>
      </w:r>
    </w:p>
    <w:p w14:paraId="4B9F2C61" w14:textId="7634C160" w:rsidR="00611BBC" w:rsidRPr="00611BBC" w:rsidRDefault="00611BBC" w:rsidP="00611BBC">
      <w:pPr>
        <w:rPr>
          <w:b/>
          <w:bCs/>
          <w:lang w:val="sv-SE" w:eastAsia="ja-JP"/>
        </w:rPr>
      </w:pPr>
      <w:r w:rsidRPr="00611BBC">
        <w:rPr>
          <w:b/>
          <w:bCs/>
          <w:lang w:val="sv-SE" w:eastAsia="ja-JP"/>
        </w:rPr>
        <w:t>Proposal 2: MPR defined in Table 6.2D.2-1 applies for power class 2 CA bandwidth classes B and C when TxD capability is indicated for PC2 contiguous UL CA when only 1 CC is transmitted.</w:t>
      </w:r>
    </w:p>
    <w:p w14:paraId="1D5ABDB6" w14:textId="60EB6B2C" w:rsidR="00611BBC" w:rsidRPr="00611BBC" w:rsidRDefault="00611BBC" w:rsidP="00611BBC">
      <w:pPr>
        <w:rPr>
          <w:b/>
          <w:bCs/>
          <w:lang w:val="sv-SE" w:eastAsia="ja-JP"/>
        </w:rPr>
      </w:pPr>
      <w:r w:rsidRPr="00611BBC">
        <w:rPr>
          <w:b/>
          <w:bCs/>
          <w:lang w:val="sv-SE" w:eastAsia="ja-JP"/>
        </w:rPr>
        <w:t>Proposal 3: MPR defined in Table 6.2.2-2 applies for power class 2 CA bandwidth classes B and C when TxD capability is absent for PC2 contiguous UL CA when only 1 CC is transmitted.</w:t>
      </w:r>
    </w:p>
    <w:p w14:paraId="79B6AA22" w14:textId="2C0FE93B" w:rsidR="00BB49C9" w:rsidRDefault="00DF0FD1" w:rsidP="008B7229">
      <w:pPr>
        <w:rPr>
          <w:lang w:val="sv-SE" w:eastAsia="ja-JP"/>
        </w:rPr>
      </w:pPr>
      <w:r>
        <w:rPr>
          <w:lang w:val="sv-SE" w:eastAsia="ja-JP"/>
        </w:rPr>
        <w:t xml:space="preserve">For spurious emissions, ACLR, and SEM, the same logic applies for uplink contiguous CA (bandwidth class B and C), e.g., for ACLR, tables below specify CA ACLR, where aggregated channel bandwidth acts as a ”virtual” larger channel bandwidth. </w:t>
      </w:r>
    </w:p>
    <w:p w14:paraId="37D2567F" w14:textId="1B2E1E9D" w:rsidR="00DF0FD1" w:rsidRDefault="00DF0FD1" w:rsidP="008B7229">
      <w:pPr>
        <w:rPr>
          <w:lang w:val="sv-SE" w:eastAsia="ja-JP"/>
        </w:rPr>
      </w:pPr>
      <w:r w:rsidRPr="00DF0FD1">
        <w:rPr>
          <w:noProof/>
          <w:lang w:val="sv-SE" w:eastAsia="ja-JP"/>
        </w:rPr>
        <w:drawing>
          <wp:inline distT="0" distB="0" distL="0" distR="0" wp14:anchorId="3ED3EC43" wp14:editId="0D5C7E84">
            <wp:extent cx="4750435" cy="3832474"/>
            <wp:effectExtent l="0" t="0" r="0" b="0"/>
            <wp:docPr id="7224636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2573" cy="3834199"/>
                    </a:xfrm>
                    <a:prstGeom prst="rect">
                      <a:avLst/>
                    </a:prstGeom>
                    <a:noFill/>
                    <a:ln>
                      <a:noFill/>
                    </a:ln>
                  </pic:spPr>
                </pic:pic>
              </a:graphicData>
            </a:graphic>
          </wp:inline>
        </w:drawing>
      </w:r>
    </w:p>
    <w:p w14:paraId="65EEB7F2" w14:textId="34E4CE17" w:rsidR="008B7229" w:rsidRDefault="00DF0FD1" w:rsidP="008B7229">
      <w:pPr>
        <w:rPr>
          <w:lang w:val="sv-SE" w:eastAsia="ja-JP"/>
        </w:rPr>
      </w:pPr>
      <w:r>
        <w:rPr>
          <w:lang w:val="sv-SE" w:eastAsia="ja-JP"/>
        </w:rPr>
        <w:lastRenderedPageBreak/>
        <w:t>It is reasonable to apply spurious emission, ACLR and SEM for single UL CC transmission for CA bandwidth class B and C.</w:t>
      </w:r>
    </w:p>
    <w:p w14:paraId="7D941168" w14:textId="17B20278" w:rsidR="00DF0FD1" w:rsidRPr="00DF0FD1" w:rsidRDefault="00DF0FD1" w:rsidP="008B7229">
      <w:pPr>
        <w:rPr>
          <w:b/>
          <w:bCs/>
          <w:lang w:val="sv-SE" w:eastAsia="ja-JP"/>
        </w:rPr>
      </w:pPr>
      <w:r w:rsidRPr="00DF0FD1">
        <w:rPr>
          <w:b/>
          <w:bCs/>
          <w:lang w:val="sv-SE" w:eastAsia="ja-JP"/>
        </w:rPr>
        <w:t>Proposal 4: Apply single carrier spurious emission/ACLR/SEM requirements for contiguous UL CA with only 1 CC transmitted.</w:t>
      </w:r>
    </w:p>
    <w:p w14:paraId="0B1E5EAB" w14:textId="77777777" w:rsidR="00DF0FD1" w:rsidRDefault="00DF0FD1"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47ED62ED" w:rsidR="00923222" w:rsidRDefault="00F611AB" w:rsidP="008B7229">
      <w:pPr>
        <w:rPr>
          <w:lang w:val="sv-SE" w:eastAsia="ja-JP"/>
        </w:rPr>
      </w:pPr>
      <w:r>
        <w:rPr>
          <w:lang w:val="sv-SE" w:eastAsia="ja-JP"/>
        </w:rPr>
        <w:t xml:space="preserve">In this contribution, we have the following proposals on </w:t>
      </w:r>
      <w:r w:rsidRPr="00F611AB">
        <w:rPr>
          <w:lang w:val="sv-SE" w:eastAsia="ja-JP"/>
        </w:rPr>
        <w:t>MPR applicability for FR1 intra-band UL CA</w:t>
      </w:r>
      <w:r>
        <w:rPr>
          <w:lang w:val="sv-SE" w:eastAsia="ja-JP"/>
        </w:rPr>
        <w:t xml:space="preserve">: </w:t>
      </w:r>
    </w:p>
    <w:p w14:paraId="2BCEA682" w14:textId="037F0EC8" w:rsidR="00923222" w:rsidRDefault="00F611AB" w:rsidP="008B7229">
      <w:pPr>
        <w:rPr>
          <w:b/>
          <w:bCs/>
          <w:lang w:val="en-US" w:eastAsia="ja-JP"/>
        </w:rPr>
      </w:pPr>
      <w:r w:rsidRPr="00BB49C9">
        <w:rPr>
          <w:b/>
          <w:bCs/>
          <w:lang w:val="en-US" w:eastAsia="ja-JP"/>
        </w:rPr>
        <w:t>Proposal 1: MPR defined in Table 6.2.2-1 applies for UE power class 3 CA bandwidth classes B and C for PC3 contiguous UL CA when only 1 CC is transmitted.</w:t>
      </w:r>
    </w:p>
    <w:p w14:paraId="4E5A8DB2" w14:textId="730B5DFA" w:rsidR="00F611AB" w:rsidRDefault="00F611AB" w:rsidP="008B7229">
      <w:pPr>
        <w:rPr>
          <w:b/>
          <w:bCs/>
          <w:lang w:val="sv-SE" w:eastAsia="ja-JP"/>
        </w:rPr>
      </w:pPr>
      <w:r w:rsidRPr="00611BBC">
        <w:rPr>
          <w:b/>
          <w:bCs/>
          <w:lang w:val="sv-SE" w:eastAsia="ja-JP"/>
        </w:rPr>
        <w:t>Proposal 2: MPR defined in Table 6.2D.2-1 applies for power class 2 CA bandwidth classes B and C when TxD capability is indicated for PC2 contiguous UL CA when only 1 CC is transmitted.</w:t>
      </w:r>
    </w:p>
    <w:p w14:paraId="13268900" w14:textId="3E594118" w:rsidR="00F611AB" w:rsidRDefault="00F611AB" w:rsidP="008B7229">
      <w:pPr>
        <w:rPr>
          <w:b/>
          <w:bCs/>
          <w:lang w:val="sv-SE" w:eastAsia="ja-JP"/>
        </w:rPr>
      </w:pPr>
      <w:r w:rsidRPr="00611BBC">
        <w:rPr>
          <w:b/>
          <w:bCs/>
          <w:lang w:val="sv-SE" w:eastAsia="ja-JP"/>
        </w:rPr>
        <w:t>Proposal 3: MPR defined in Table 6.2.2-2 applies for power class 2 CA bandwidth classes B and C when TxD capability is absent for PC2 contiguous UL CA when only 1 CC is transmitted.</w:t>
      </w:r>
    </w:p>
    <w:p w14:paraId="1E385346" w14:textId="71DF6ADC" w:rsidR="00F611AB" w:rsidRDefault="00F611AB" w:rsidP="008B7229">
      <w:pPr>
        <w:rPr>
          <w:lang w:val="sv-SE" w:eastAsia="ja-JP"/>
        </w:rPr>
      </w:pPr>
      <w:r w:rsidRPr="00DF0FD1">
        <w:rPr>
          <w:b/>
          <w:bCs/>
          <w:lang w:val="sv-SE" w:eastAsia="ja-JP"/>
        </w:rPr>
        <w:t>Proposal 4: Apply single carrier spurious emission/ACLR/SEM requirements for contiguous UL CA with only 1 CC transmitted.</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3C7FCC85" w:rsidR="00CD424F" w:rsidRDefault="00CD424F" w:rsidP="00CD424F">
      <w:pPr>
        <w:rPr>
          <w:lang w:val="sv-SE" w:eastAsia="ja-JP"/>
        </w:rPr>
      </w:pPr>
      <w:r>
        <w:rPr>
          <w:lang w:val="sv-SE" w:eastAsia="ja-JP"/>
        </w:rPr>
        <w:t xml:space="preserve">[1] </w:t>
      </w:r>
      <w:r w:rsidR="002B55FC">
        <w:rPr>
          <w:lang w:val="sv-SE" w:eastAsia="ja-JP"/>
        </w:rPr>
        <w:t>R4-2410749, ”</w:t>
      </w:r>
      <w:r w:rsidR="002B55FC" w:rsidRPr="002B55FC">
        <w:rPr>
          <w:lang w:val="sv-SE" w:eastAsia="ja-JP"/>
        </w:rPr>
        <w:t>WF on power domain enhancements</w:t>
      </w:r>
      <w:r w:rsidR="002B55FC">
        <w:rPr>
          <w:lang w:val="sv-SE" w:eastAsia="ja-JP"/>
        </w:rPr>
        <w:t>”, Huawei/HiSilicon</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68240" w14:textId="77777777" w:rsidR="005612AF" w:rsidRDefault="005612AF">
      <w:r>
        <w:separator/>
      </w:r>
    </w:p>
  </w:endnote>
  <w:endnote w:type="continuationSeparator" w:id="0">
    <w:p w14:paraId="2FAC4BD0" w14:textId="77777777" w:rsidR="005612AF" w:rsidRDefault="0056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84C7F" w14:textId="77777777" w:rsidR="005612AF" w:rsidRDefault="005612AF">
      <w:r>
        <w:separator/>
      </w:r>
    </w:p>
  </w:footnote>
  <w:footnote w:type="continuationSeparator" w:id="0">
    <w:p w14:paraId="00EC4BD3" w14:textId="77777777" w:rsidR="005612AF" w:rsidRDefault="00561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2"/>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4"/>
  </w:num>
  <w:num w:numId="19" w16cid:durableId="151794773">
    <w:abstractNumId w:val="2"/>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122814890">
    <w:abstractNumId w:val="9"/>
  </w:num>
  <w:num w:numId="25" w16cid:durableId="1970238205">
    <w:abstractNumId w:val="9"/>
  </w:num>
  <w:num w:numId="26" w16cid:durableId="1070273695">
    <w:abstractNumId w:val="3"/>
  </w:num>
  <w:num w:numId="27" w16cid:durableId="776019711">
    <w:abstractNumId w:val="11"/>
  </w:num>
  <w:num w:numId="28" w16cid:durableId="171391639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4832"/>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5F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7CFA"/>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12AF"/>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1BBC"/>
    <w:rsid w:val="00611C08"/>
    <w:rsid w:val="006144A1"/>
    <w:rsid w:val="00615EBB"/>
    <w:rsid w:val="00616096"/>
    <w:rsid w:val="006160A2"/>
    <w:rsid w:val="006176B4"/>
    <w:rsid w:val="00622279"/>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153E"/>
    <w:rsid w:val="0070646B"/>
    <w:rsid w:val="007130A2"/>
    <w:rsid w:val="00715463"/>
    <w:rsid w:val="00730655"/>
    <w:rsid w:val="00731D77"/>
    <w:rsid w:val="00732360"/>
    <w:rsid w:val="0073390A"/>
    <w:rsid w:val="00734E64"/>
    <w:rsid w:val="00736B37"/>
    <w:rsid w:val="00740125"/>
    <w:rsid w:val="00740A35"/>
    <w:rsid w:val="007520B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4E1"/>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024"/>
    <w:rsid w:val="008A1FBE"/>
    <w:rsid w:val="008A51C9"/>
    <w:rsid w:val="008B3194"/>
    <w:rsid w:val="008B5AE7"/>
    <w:rsid w:val="008B7229"/>
    <w:rsid w:val="008C2DD0"/>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0AB0"/>
    <w:rsid w:val="00B4108D"/>
    <w:rsid w:val="00B41863"/>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9C9"/>
    <w:rsid w:val="00BB572E"/>
    <w:rsid w:val="00BB74FD"/>
    <w:rsid w:val="00BC3A2B"/>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F2A"/>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0FD1"/>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73EB0"/>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1AB"/>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265045">
      <w:bodyDiv w:val="1"/>
      <w:marLeft w:val="0"/>
      <w:marRight w:val="0"/>
      <w:marTop w:val="0"/>
      <w:marBottom w:val="0"/>
      <w:divBdr>
        <w:top w:val="none" w:sz="0" w:space="0" w:color="auto"/>
        <w:left w:val="none" w:sz="0" w:space="0" w:color="auto"/>
        <w:bottom w:val="none" w:sz="0" w:space="0" w:color="auto"/>
        <w:right w:val="none" w:sz="0" w:space="0" w:color="auto"/>
      </w:divBdr>
      <w:divsChild>
        <w:div w:id="1959798924">
          <w:marLeft w:val="0"/>
          <w:marRight w:val="0"/>
          <w:marTop w:val="0"/>
          <w:marBottom w:val="0"/>
          <w:divBdr>
            <w:top w:val="none" w:sz="0" w:space="0" w:color="auto"/>
            <w:left w:val="none" w:sz="0" w:space="0" w:color="auto"/>
            <w:bottom w:val="none" w:sz="0" w:space="0" w:color="auto"/>
            <w:right w:val="none" w:sz="0" w:space="0" w:color="auto"/>
          </w:divBdr>
          <w:divsChild>
            <w:div w:id="19535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531349">
      <w:bodyDiv w:val="1"/>
      <w:marLeft w:val="0"/>
      <w:marRight w:val="0"/>
      <w:marTop w:val="0"/>
      <w:marBottom w:val="0"/>
      <w:divBdr>
        <w:top w:val="none" w:sz="0" w:space="0" w:color="auto"/>
        <w:left w:val="none" w:sz="0" w:space="0" w:color="auto"/>
        <w:bottom w:val="none" w:sz="0" w:space="0" w:color="auto"/>
        <w:right w:val="none" w:sz="0" w:space="0" w:color="auto"/>
      </w:divBdr>
      <w:divsChild>
        <w:div w:id="1924335922">
          <w:marLeft w:val="0"/>
          <w:marRight w:val="0"/>
          <w:marTop w:val="0"/>
          <w:marBottom w:val="0"/>
          <w:divBdr>
            <w:top w:val="none" w:sz="0" w:space="0" w:color="auto"/>
            <w:left w:val="none" w:sz="0" w:space="0" w:color="auto"/>
            <w:bottom w:val="none" w:sz="0" w:space="0" w:color="auto"/>
            <w:right w:val="none" w:sz="0" w:space="0" w:color="auto"/>
          </w:divBdr>
          <w:divsChild>
            <w:div w:id="1095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Pages>
  <Words>637</Words>
  <Characters>3637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14</cp:revision>
  <cp:lastPrinted>2019-04-25T01:09:00Z</cp:lastPrinted>
  <dcterms:created xsi:type="dcterms:W3CDTF">2024-08-03T04:39:00Z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